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4C" w:rsidRPr="00DD6D6F" w:rsidRDefault="007F3F6F" w:rsidP="00DD6D6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  <w:r w:rsidRPr="00DD6D6F">
        <w:rPr>
          <w:rFonts w:ascii="Arial" w:hAnsi="Arial" w:cs="Arial"/>
          <w:b/>
          <w:bCs/>
          <w:color w:val="0000FF"/>
          <w:sz w:val="28"/>
          <w:szCs w:val="28"/>
        </w:rPr>
        <w:t>M</w:t>
      </w:r>
      <w:r w:rsidR="00ED3B4F">
        <w:rPr>
          <w:rFonts w:ascii="Arial" w:hAnsi="Arial" w:cs="Arial"/>
          <w:b/>
          <w:bCs/>
          <w:color w:val="0000FF"/>
          <w:sz w:val="28"/>
          <w:szCs w:val="28"/>
        </w:rPr>
        <w:t xml:space="preserve">ultiples </w:t>
      </w:r>
      <w:proofErr w:type="spellStart"/>
      <w:r w:rsidR="00ED3B4F">
        <w:rPr>
          <w:rFonts w:ascii="Arial" w:hAnsi="Arial" w:cs="Arial"/>
          <w:b/>
          <w:bCs/>
          <w:color w:val="0000FF"/>
          <w:sz w:val="28"/>
          <w:szCs w:val="28"/>
        </w:rPr>
        <w:t>Myel</w:t>
      </w:r>
      <w:r w:rsidR="00225E8B" w:rsidRPr="00DD6D6F">
        <w:rPr>
          <w:rFonts w:ascii="Arial" w:hAnsi="Arial" w:cs="Arial"/>
          <w:b/>
          <w:bCs/>
          <w:color w:val="0000FF"/>
          <w:sz w:val="28"/>
          <w:szCs w:val="28"/>
        </w:rPr>
        <w:t>om</w:t>
      </w:r>
      <w:proofErr w:type="spellEnd"/>
    </w:p>
    <w:p w:rsidR="00301B4C" w:rsidRDefault="00301B4C" w:rsidP="00DD6D6F">
      <w:pPr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  <w:r w:rsidRPr="00DD6D6F">
        <w:rPr>
          <w:rFonts w:ascii="Arial" w:hAnsi="Arial" w:cs="Arial"/>
          <w:b/>
          <w:bCs/>
          <w:color w:val="0000FF"/>
          <w:sz w:val="28"/>
          <w:szCs w:val="28"/>
        </w:rPr>
        <w:t>Zulassungsstatus von Medikamenten</w:t>
      </w:r>
    </w:p>
    <w:p w:rsidR="00A35B0C" w:rsidRPr="00DD6D6F" w:rsidRDefault="00A35B0C" w:rsidP="00DD6D6F">
      <w:pPr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  <w:r>
        <w:rPr>
          <w:rFonts w:ascii="Arial" w:hAnsi="Arial" w:cs="Arial"/>
          <w:b/>
          <w:bCs/>
          <w:color w:val="0000FF"/>
          <w:sz w:val="28"/>
          <w:szCs w:val="28"/>
        </w:rPr>
        <w:t>Deutschland / Österreich</w:t>
      </w:r>
    </w:p>
    <w:p w:rsidR="00301B4C" w:rsidRDefault="00301B4C" w:rsidP="00DD6D6F">
      <w:pPr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</w:p>
    <w:p w:rsidR="008D1F76" w:rsidRPr="008D1F76" w:rsidRDefault="00805156" w:rsidP="008D1F76">
      <w:pPr>
        <w:spacing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Tabelle 1: Anti-</w:t>
      </w:r>
      <w:proofErr w:type="spellStart"/>
      <w:r>
        <w:rPr>
          <w:rFonts w:ascii="Arial" w:hAnsi="Arial" w:cs="Arial"/>
          <w:b/>
          <w:bCs/>
          <w:i/>
          <w:iCs/>
          <w:sz w:val="22"/>
          <w:szCs w:val="22"/>
        </w:rPr>
        <w:t>Myelom</w:t>
      </w:r>
      <w:proofErr w:type="spellEnd"/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Medikamente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64"/>
        <w:gridCol w:w="1217"/>
        <w:gridCol w:w="6407"/>
      </w:tblGrid>
      <w:tr w:rsidR="008D1F76" w:rsidRPr="00805156" w:rsidTr="00DC5DAC">
        <w:tc>
          <w:tcPr>
            <w:tcW w:w="0" w:type="auto"/>
          </w:tcPr>
          <w:p w:rsidR="007F3F6F" w:rsidRPr="00805156" w:rsidRDefault="007F3F6F" w:rsidP="001E0E57">
            <w:pPr>
              <w:spacing w:before="120" w:line="360" w:lineRule="auto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  <w:b/>
                <w:bCs/>
              </w:rPr>
              <w:t>Substanz</w:t>
            </w:r>
          </w:p>
        </w:tc>
        <w:tc>
          <w:tcPr>
            <w:tcW w:w="0" w:type="auto"/>
          </w:tcPr>
          <w:p w:rsidR="007F3F6F" w:rsidRPr="00805156" w:rsidRDefault="007F3F6F" w:rsidP="008D1F76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  <w:b/>
                <w:bCs/>
              </w:rPr>
              <w:t>Zulassung</w:t>
            </w:r>
          </w:p>
        </w:tc>
        <w:tc>
          <w:tcPr>
            <w:tcW w:w="0" w:type="auto"/>
          </w:tcPr>
          <w:p w:rsidR="007F3F6F" w:rsidRPr="00805156" w:rsidRDefault="007F3F6F" w:rsidP="001E0E57">
            <w:pPr>
              <w:spacing w:before="120" w:line="360" w:lineRule="auto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  <w:b/>
                <w:bCs/>
              </w:rPr>
              <w:t>Anmerkungen</w:t>
            </w:r>
          </w:p>
        </w:tc>
      </w:tr>
      <w:tr w:rsidR="008D1F76" w:rsidRPr="00805156" w:rsidTr="00DC5DAC">
        <w:tc>
          <w:tcPr>
            <w:tcW w:w="0" w:type="auto"/>
          </w:tcPr>
          <w:p w:rsidR="00D5427B" w:rsidRPr="00805156" w:rsidRDefault="00D5427B" w:rsidP="001E0E57">
            <w:pPr>
              <w:spacing w:before="120" w:line="360" w:lineRule="auto"/>
              <w:rPr>
                <w:rFonts w:ascii="Arial" w:hAnsi="Arial" w:cs="Arial"/>
              </w:rPr>
            </w:pPr>
            <w:proofErr w:type="spellStart"/>
            <w:r w:rsidRPr="00805156">
              <w:rPr>
                <w:rFonts w:ascii="Arial" w:hAnsi="Arial" w:cs="Arial"/>
              </w:rPr>
              <w:t>Bendamustin</w:t>
            </w:r>
            <w:proofErr w:type="spellEnd"/>
          </w:p>
        </w:tc>
        <w:tc>
          <w:tcPr>
            <w:tcW w:w="0" w:type="auto"/>
          </w:tcPr>
          <w:p w:rsidR="00D5427B" w:rsidRPr="00805156" w:rsidRDefault="001E0E57" w:rsidP="008D1F76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8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5427B" w:rsidRPr="00805156" w:rsidRDefault="008D1F76" w:rsidP="008D1F76">
            <w:pPr>
              <w:pStyle w:val="Listenabsatz"/>
              <w:numPr>
                <w:ilvl w:val="0"/>
                <w:numId w:val="17"/>
              </w:numPr>
              <w:spacing w:before="120" w:line="360" w:lineRule="auto"/>
              <w:ind w:left="386"/>
              <w:contextualSpacing w:val="0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</w:rPr>
              <w:t xml:space="preserve">Zweitlinientherapie: </w:t>
            </w:r>
            <w:r w:rsidR="001E0E57" w:rsidRPr="00805156">
              <w:rPr>
                <w:rFonts w:ascii="Arial" w:hAnsi="Arial" w:cs="Arial"/>
              </w:rPr>
              <w:t xml:space="preserve">Stadium II </w:t>
            </w:r>
            <w:r w:rsidR="00EE6A9C" w:rsidRPr="00805156">
              <w:rPr>
                <w:rFonts w:ascii="Arial" w:hAnsi="Arial" w:cs="Arial"/>
              </w:rPr>
              <w:t>m</w:t>
            </w:r>
            <w:r w:rsidR="001E0E57" w:rsidRPr="00805156">
              <w:rPr>
                <w:rFonts w:ascii="Arial" w:hAnsi="Arial" w:cs="Arial"/>
              </w:rPr>
              <w:t>it Progress oder Stadium III</w:t>
            </w:r>
            <w:r w:rsidRPr="00805156">
              <w:rPr>
                <w:rFonts w:ascii="Arial" w:hAnsi="Arial" w:cs="Arial"/>
              </w:rPr>
              <w:t xml:space="preserve"> </w:t>
            </w:r>
            <w:bookmarkStart w:id="0" w:name="anw"/>
            <w:r w:rsidRPr="00805156">
              <w:rPr>
                <w:rFonts w:ascii="Arial" w:hAnsi="Arial" w:cs="Arial"/>
              </w:rPr>
              <w:t xml:space="preserve">in Kombination mit </w:t>
            </w:r>
            <w:proofErr w:type="spellStart"/>
            <w:r w:rsidRPr="00805156">
              <w:rPr>
                <w:rFonts w:ascii="Arial" w:hAnsi="Arial" w:cs="Arial"/>
              </w:rPr>
              <w:t>Prednisolon</w:t>
            </w:r>
            <w:proofErr w:type="spellEnd"/>
            <w:r w:rsidRPr="00805156">
              <w:rPr>
                <w:rFonts w:ascii="Arial" w:hAnsi="Arial" w:cs="Arial"/>
              </w:rPr>
              <w:t xml:space="preserve"> bei Patienten &gt; 65 Jahre und nicht für eine </w:t>
            </w:r>
            <w:proofErr w:type="spellStart"/>
            <w:r w:rsidRPr="00805156">
              <w:rPr>
                <w:rFonts w:ascii="Arial" w:hAnsi="Arial" w:cs="Arial"/>
              </w:rPr>
              <w:t>autologe</w:t>
            </w:r>
            <w:proofErr w:type="spellEnd"/>
            <w:r w:rsidRPr="00805156">
              <w:rPr>
                <w:rFonts w:ascii="Arial" w:hAnsi="Arial" w:cs="Arial"/>
              </w:rPr>
              <w:t xml:space="preserve"> Stammzelltransplantation geeignet sind oder bei Patienten, die bei Diagnosestellung eine klinische Neuropathie aufweisen, wodurch eine Behandlung mit Thalidomid oder </w:t>
            </w:r>
            <w:proofErr w:type="spellStart"/>
            <w:r w:rsidRPr="00805156">
              <w:rPr>
                <w:rFonts w:ascii="Arial" w:hAnsi="Arial" w:cs="Arial"/>
              </w:rPr>
              <w:t>Bortezomib</w:t>
            </w:r>
            <w:proofErr w:type="spellEnd"/>
            <w:r w:rsidRPr="00805156">
              <w:rPr>
                <w:rFonts w:ascii="Arial" w:hAnsi="Arial" w:cs="Arial"/>
              </w:rPr>
              <w:t xml:space="preserve"> ausgeschlossen ist</w:t>
            </w:r>
            <w:bookmarkEnd w:id="0"/>
          </w:p>
        </w:tc>
      </w:tr>
      <w:tr w:rsidR="008D1F76" w:rsidTr="00DC5DAC">
        <w:tc>
          <w:tcPr>
            <w:tcW w:w="0" w:type="auto"/>
          </w:tcPr>
          <w:p w:rsidR="001E0E57" w:rsidRPr="001E0E57" w:rsidRDefault="001E0E57" w:rsidP="001E0E57">
            <w:pPr>
              <w:spacing w:before="120" w:line="360" w:lineRule="auto"/>
              <w:rPr>
                <w:rFonts w:ascii="Arial" w:hAnsi="Arial" w:cs="Arial"/>
              </w:rPr>
            </w:pPr>
            <w:proofErr w:type="spellStart"/>
            <w:r w:rsidRPr="001E0E57">
              <w:rPr>
                <w:rFonts w:ascii="Arial" w:hAnsi="Arial" w:cs="Arial"/>
              </w:rPr>
              <w:t>Bortezomib</w:t>
            </w:r>
            <w:proofErr w:type="spellEnd"/>
          </w:p>
        </w:tc>
        <w:tc>
          <w:tcPr>
            <w:tcW w:w="0" w:type="auto"/>
          </w:tcPr>
          <w:p w:rsidR="001E0E57" w:rsidRPr="001E0E57" w:rsidRDefault="001E0E57" w:rsidP="008D1F76">
            <w:pPr>
              <w:spacing w:before="120" w:line="360" w:lineRule="auto"/>
              <w:jc w:val="center"/>
              <w:rPr>
                <w:rFonts w:ascii="Arial" w:hAnsi="Arial" w:cs="Arial"/>
                <w:noProof/>
              </w:rPr>
            </w:pPr>
            <w:r w:rsidRPr="001E0E57">
              <w:rPr>
                <w:rFonts w:ascii="Arial" w:hAnsi="Arial" w:cs="Arial"/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16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E0E57" w:rsidRPr="008D1F76" w:rsidRDefault="001E0E57" w:rsidP="001E0E57">
            <w:pPr>
              <w:pStyle w:val="Listenabsatz"/>
              <w:numPr>
                <w:ilvl w:val="0"/>
                <w:numId w:val="17"/>
              </w:numPr>
              <w:spacing w:before="120" w:line="360" w:lineRule="auto"/>
              <w:ind w:left="386"/>
              <w:contextualSpacing w:val="0"/>
              <w:rPr>
                <w:rFonts w:ascii="Arial" w:hAnsi="Arial" w:cs="Arial"/>
              </w:rPr>
            </w:pPr>
            <w:r w:rsidRPr="008D1F76">
              <w:rPr>
                <w:rFonts w:ascii="Arial" w:hAnsi="Arial" w:cs="Arial"/>
              </w:rPr>
              <w:t xml:space="preserve">Erstlinientherapie: in Kombination mit </w:t>
            </w:r>
            <w:proofErr w:type="spellStart"/>
            <w:r w:rsidRPr="008D1F76">
              <w:rPr>
                <w:rFonts w:ascii="Arial" w:hAnsi="Arial" w:cs="Arial"/>
              </w:rPr>
              <w:t>Melphalan</w:t>
            </w:r>
            <w:proofErr w:type="spellEnd"/>
            <w:r w:rsidRPr="008D1F76">
              <w:rPr>
                <w:rFonts w:ascii="Arial" w:hAnsi="Arial" w:cs="Arial"/>
              </w:rPr>
              <w:t xml:space="preserve"> und Prednison bei Patienten, die für eine Stammzelltransplantation nicht geeignet sind</w:t>
            </w:r>
          </w:p>
          <w:p w:rsidR="001E0E57" w:rsidRPr="008D1F76" w:rsidRDefault="001E0E57" w:rsidP="001E0E57">
            <w:pPr>
              <w:pStyle w:val="Listenabsatz"/>
              <w:numPr>
                <w:ilvl w:val="0"/>
                <w:numId w:val="17"/>
              </w:numPr>
              <w:spacing w:before="120" w:line="360" w:lineRule="auto"/>
              <w:ind w:left="386"/>
              <w:contextualSpacing w:val="0"/>
              <w:rPr>
                <w:rFonts w:ascii="Arial" w:hAnsi="Arial" w:cs="Arial"/>
              </w:rPr>
            </w:pPr>
            <w:r w:rsidRPr="008D1F76">
              <w:rPr>
                <w:rFonts w:ascii="Arial" w:hAnsi="Arial" w:cs="Arial"/>
              </w:rPr>
              <w:t>Zweitlinientherapie: Monotherapie nach mindestens einer Therapie und nach Stammzellmarktransplantation</w:t>
            </w:r>
          </w:p>
        </w:tc>
      </w:tr>
      <w:tr w:rsidR="008D1F76" w:rsidTr="00DC5DAC">
        <w:tc>
          <w:tcPr>
            <w:tcW w:w="0" w:type="auto"/>
          </w:tcPr>
          <w:p w:rsidR="001E0E57" w:rsidRPr="001E0E57" w:rsidRDefault="001E0E57" w:rsidP="001E0E57">
            <w:pPr>
              <w:spacing w:before="120" w:line="360" w:lineRule="auto"/>
              <w:rPr>
                <w:rFonts w:ascii="Arial" w:hAnsi="Arial" w:cs="Arial"/>
              </w:rPr>
            </w:pPr>
            <w:proofErr w:type="spellStart"/>
            <w:r w:rsidRPr="001E0E57">
              <w:rPr>
                <w:rFonts w:ascii="Arial" w:hAnsi="Arial" w:cs="Arial"/>
              </w:rPr>
              <w:t>Dexamethason</w:t>
            </w:r>
            <w:proofErr w:type="spellEnd"/>
          </w:p>
        </w:tc>
        <w:tc>
          <w:tcPr>
            <w:tcW w:w="0" w:type="auto"/>
          </w:tcPr>
          <w:p w:rsidR="001E0E57" w:rsidRPr="001E0E57" w:rsidRDefault="001E0E57" w:rsidP="008D1F76">
            <w:pPr>
              <w:spacing w:before="120" w:line="360" w:lineRule="auto"/>
              <w:jc w:val="center"/>
              <w:rPr>
                <w:rFonts w:ascii="Arial" w:hAnsi="Arial" w:cs="Arial"/>
                <w:noProof/>
              </w:rPr>
            </w:pPr>
            <w:r w:rsidRPr="001E0E57">
              <w:rPr>
                <w:rFonts w:ascii="Arial" w:hAnsi="Arial" w:cs="Arial"/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15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E0E57" w:rsidRPr="001E0E57" w:rsidRDefault="001E0E57" w:rsidP="001E0E57">
            <w:pPr>
              <w:pStyle w:val="Listenabsatz"/>
              <w:numPr>
                <w:ilvl w:val="0"/>
                <w:numId w:val="17"/>
              </w:numPr>
              <w:spacing w:before="120" w:line="360" w:lineRule="auto"/>
              <w:ind w:left="386"/>
              <w:contextualSpacing w:val="0"/>
              <w:rPr>
                <w:rFonts w:ascii="Arial" w:hAnsi="Arial" w:cs="Arial"/>
              </w:rPr>
            </w:pPr>
            <w:r w:rsidRPr="001E0E57">
              <w:rPr>
                <w:rFonts w:ascii="Arial" w:hAnsi="Arial" w:cs="Arial"/>
              </w:rPr>
              <w:t>Palliativtherapie maligner Tumore</w:t>
            </w:r>
          </w:p>
        </w:tc>
      </w:tr>
      <w:tr w:rsidR="008D1F76" w:rsidTr="00DC5DAC">
        <w:tc>
          <w:tcPr>
            <w:tcW w:w="0" w:type="auto"/>
          </w:tcPr>
          <w:p w:rsidR="001E0E57" w:rsidRPr="001E0E57" w:rsidRDefault="001E0E57" w:rsidP="001E0E57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proofErr w:type="spellStart"/>
            <w:r w:rsidRPr="001E0E57">
              <w:rPr>
                <w:rFonts w:ascii="Arial" w:hAnsi="Arial" w:cs="Arial"/>
              </w:rPr>
              <w:t>Doxorubicin</w:t>
            </w:r>
            <w:proofErr w:type="spellEnd"/>
          </w:p>
        </w:tc>
        <w:tc>
          <w:tcPr>
            <w:tcW w:w="0" w:type="auto"/>
          </w:tcPr>
          <w:p w:rsidR="001E0E57" w:rsidRPr="001E0E57" w:rsidRDefault="008D1F76" w:rsidP="008D1F76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D1F76">
              <w:rPr>
                <w:rFonts w:ascii="Arial" w:hAnsi="Arial" w:cs="Arial"/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231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E0E57" w:rsidRPr="001E0E57" w:rsidRDefault="001E0E57" w:rsidP="001E0E57">
            <w:pPr>
              <w:pStyle w:val="Listenabsatz"/>
              <w:numPr>
                <w:ilvl w:val="0"/>
                <w:numId w:val="17"/>
              </w:numPr>
              <w:spacing w:before="120" w:line="360" w:lineRule="auto"/>
              <w:ind w:left="389"/>
              <w:jc w:val="both"/>
              <w:rPr>
                <w:rFonts w:ascii="Arial" w:hAnsi="Arial" w:cs="Arial"/>
              </w:rPr>
            </w:pPr>
            <w:r w:rsidRPr="001E0E57">
              <w:rPr>
                <w:rFonts w:ascii="Arial" w:hAnsi="Arial" w:cs="Arial"/>
              </w:rPr>
              <w:t xml:space="preserve">fortgeschrittenes Multiples </w:t>
            </w:r>
            <w:proofErr w:type="spellStart"/>
            <w:r w:rsidRPr="001E0E57">
              <w:rPr>
                <w:rFonts w:ascii="Arial" w:hAnsi="Arial" w:cs="Arial"/>
              </w:rPr>
              <w:t>Myelom</w:t>
            </w:r>
            <w:proofErr w:type="spellEnd"/>
          </w:p>
        </w:tc>
      </w:tr>
      <w:tr w:rsidR="008D1F76" w:rsidTr="00DC5DAC">
        <w:tc>
          <w:tcPr>
            <w:tcW w:w="0" w:type="auto"/>
          </w:tcPr>
          <w:p w:rsidR="001E0E57" w:rsidRPr="001E0E57" w:rsidRDefault="001E0E57" w:rsidP="001E0E57">
            <w:pPr>
              <w:spacing w:before="120" w:line="360" w:lineRule="auto"/>
              <w:rPr>
                <w:rFonts w:ascii="Arial" w:hAnsi="Arial" w:cs="Arial"/>
              </w:rPr>
            </w:pPr>
            <w:r w:rsidRPr="001E0E57">
              <w:rPr>
                <w:rFonts w:ascii="Arial" w:hAnsi="Arial" w:cs="Arial"/>
              </w:rPr>
              <w:t>Interferon alpha-2b</w:t>
            </w:r>
          </w:p>
        </w:tc>
        <w:tc>
          <w:tcPr>
            <w:tcW w:w="0" w:type="auto"/>
          </w:tcPr>
          <w:p w:rsidR="001E0E57" w:rsidRPr="001E0E57" w:rsidRDefault="008D1F76" w:rsidP="008D1F76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D1F76">
              <w:rPr>
                <w:rFonts w:ascii="Arial" w:hAnsi="Arial" w:cs="Arial"/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232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E0E57" w:rsidRPr="001E0E57" w:rsidRDefault="001E0E57" w:rsidP="001E0E57">
            <w:pPr>
              <w:pStyle w:val="Listenabsatz"/>
              <w:numPr>
                <w:ilvl w:val="0"/>
                <w:numId w:val="17"/>
              </w:numPr>
              <w:suppressAutoHyphens/>
              <w:spacing w:before="120" w:line="360" w:lineRule="auto"/>
              <w:ind w:left="391"/>
              <w:jc w:val="both"/>
              <w:rPr>
                <w:rFonts w:ascii="Arial" w:hAnsi="Arial" w:cs="Arial"/>
              </w:rPr>
            </w:pPr>
            <w:r w:rsidRPr="001E0E57">
              <w:rPr>
                <w:rFonts w:ascii="Arial" w:hAnsi="Arial" w:cs="Arial"/>
                <w:kern w:val="0"/>
              </w:rPr>
              <w:t>Erhaltungstherapie bei Patienten, die nach Induktion eine objektive Remission erreichten</w:t>
            </w:r>
          </w:p>
        </w:tc>
      </w:tr>
      <w:tr w:rsidR="008D1F76" w:rsidTr="00DC5DAC">
        <w:tc>
          <w:tcPr>
            <w:tcW w:w="0" w:type="auto"/>
          </w:tcPr>
          <w:p w:rsidR="001E0E57" w:rsidRPr="001E0E57" w:rsidRDefault="001E0E57" w:rsidP="001E0E57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proofErr w:type="spellStart"/>
            <w:r w:rsidRPr="001E0E57">
              <w:rPr>
                <w:rFonts w:ascii="Arial" w:hAnsi="Arial" w:cs="Arial"/>
              </w:rPr>
              <w:t>Lenalidomid</w:t>
            </w:r>
            <w:proofErr w:type="spellEnd"/>
          </w:p>
        </w:tc>
        <w:tc>
          <w:tcPr>
            <w:tcW w:w="0" w:type="auto"/>
          </w:tcPr>
          <w:p w:rsidR="001E0E57" w:rsidRPr="001E0E57" w:rsidRDefault="008D1F76" w:rsidP="008D1F76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D1F76">
              <w:rPr>
                <w:rFonts w:ascii="Arial" w:hAnsi="Arial" w:cs="Arial"/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233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E0E57" w:rsidRPr="008D1F76" w:rsidRDefault="008D1F76" w:rsidP="001E0E57">
            <w:pPr>
              <w:pStyle w:val="Listenabsatz"/>
              <w:numPr>
                <w:ilvl w:val="0"/>
                <w:numId w:val="17"/>
              </w:numPr>
              <w:spacing w:before="120" w:line="360" w:lineRule="auto"/>
              <w:ind w:left="389"/>
              <w:jc w:val="both"/>
              <w:rPr>
                <w:rFonts w:ascii="Arial" w:hAnsi="Arial" w:cs="Arial"/>
              </w:rPr>
            </w:pPr>
            <w:r w:rsidRPr="008D1F76">
              <w:rPr>
                <w:rFonts w:ascii="Arial" w:hAnsi="Arial" w:cs="Arial"/>
              </w:rPr>
              <w:t xml:space="preserve">Zweitlinientherapie: </w:t>
            </w:r>
            <w:r w:rsidR="001E0E57" w:rsidRPr="008D1F76">
              <w:rPr>
                <w:rFonts w:ascii="Arial" w:hAnsi="Arial" w:cs="Arial"/>
              </w:rPr>
              <w:t xml:space="preserve">in Kombination mit </w:t>
            </w:r>
            <w:proofErr w:type="spellStart"/>
            <w:r w:rsidR="001E0E57" w:rsidRPr="008D1F76">
              <w:rPr>
                <w:rFonts w:ascii="Arial" w:hAnsi="Arial" w:cs="Arial"/>
              </w:rPr>
              <w:t>Dexamethason</w:t>
            </w:r>
            <w:proofErr w:type="spellEnd"/>
          </w:p>
          <w:p w:rsidR="001E0E57" w:rsidRPr="001E0E57" w:rsidRDefault="001E0E57" w:rsidP="008D1F76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1E0E57">
              <w:rPr>
                <w:rFonts w:ascii="Arial" w:hAnsi="Arial" w:cs="Arial"/>
                <w:b/>
                <w:bCs/>
                <w:kern w:val="0"/>
              </w:rPr>
              <w:t>T Rezept!</w:t>
            </w:r>
          </w:p>
        </w:tc>
      </w:tr>
      <w:tr w:rsidR="008D1F76" w:rsidTr="00DC5DAC">
        <w:tc>
          <w:tcPr>
            <w:tcW w:w="0" w:type="auto"/>
          </w:tcPr>
          <w:p w:rsidR="001E0E57" w:rsidRPr="001E0E57" w:rsidRDefault="001E0E57" w:rsidP="001E0E57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proofErr w:type="spellStart"/>
            <w:r w:rsidRPr="001E0E57">
              <w:rPr>
                <w:rFonts w:ascii="Arial" w:hAnsi="Arial" w:cs="Arial"/>
              </w:rPr>
              <w:t>Melphalan</w:t>
            </w:r>
            <w:proofErr w:type="spellEnd"/>
          </w:p>
        </w:tc>
        <w:tc>
          <w:tcPr>
            <w:tcW w:w="0" w:type="auto"/>
          </w:tcPr>
          <w:p w:rsidR="001E0E57" w:rsidRPr="001E0E57" w:rsidRDefault="008D1F76" w:rsidP="008D1F76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D1F76">
              <w:rPr>
                <w:rFonts w:ascii="Arial" w:hAnsi="Arial" w:cs="Arial"/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234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E0E57" w:rsidRPr="008D1F76" w:rsidRDefault="001E0E57" w:rsidP="008D1F76">
            <w:pPr>
              <w:pStyle w:val="Listenabsatz"/>
              <w:numPr>
                <w:ilvl w:val="0"/>
                <w:numId w:val="17"/>
              </w:numPr>
              <w:spacing w:before="120" w:line="360" w:lineRule="auto"/>
              <w:ind w:left="389"/>
              <w:jc w:val="both"/>
              <w:rPr>
                <w:rFonts w:ascii="Arial" w:hAnsi="Arial" w:cs="Arial"/>
              </w:rPr>
            </w:pPr>
            <w:r w:rsidRPr="008D1F76">
              <w:rPr>
                <w:rFonts w:ascii="Arial" w:hAnsi="Arial" w:cs="Arial"/>
              </w:rPr>
              <w:t xml:space="preserve">Multiples </w:t>
            </w:r>
            <w:proofErr w:type="spellStart"/>
            <w:r w:rsidRPr="008D1F76">
              <w:rPr>
                <w:rFonts w:ascii="Arial" w:hAnsi="Arial" w:cs="Arial"/>
              </w:rPr>
              <w:t>Myelom</w:t>
            </w:r>
            <w:proofErr w:type="spellEnd"/>
          </w:p>
        </w:tc>
      </w:tr>
      <w:tr w:rsidR="000A7E50" w:rsidTr="00DC5DAC">
        <w:tc>
          <w:tcPr>
            <w:tcW w:w="0" w:type="auto"/>
          </w:tcPr>
          <w:p w:rsidR="000A7E50" w:rsidRPr="008F66D4" w:rsidRDefault="000A7E50" w:rsidP="001E0E57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proofErr w:type="spellStart"/>
            <w:r w:rsidRPr="008F66D4">
              <w:rPr>
                <w:rFonts w:ascii="Arial" w:hAnsi="Arial" w:cs="Arial"/>
              </w:rPr>
              <w:t>Pomalidomid</w:t>
            </w:r>
            <w:proofErr w:type="spellEnd"/>
          </w:p>
        </w:tc>
        <w:tc>
          <w:tcPr>
            <w:tcW w:w="0" w:type="auto"/>
          </w:tcPr>
          <w:p w:rsidR="000A7E50" w:rsidRPr="008F66D4" w:rsidRDefault="000A7E50" w:rsidP="008D1F76">
            <w:pPr>
              <w:spacing w:before="120" w:line="360" w:lineRule="auto"/>
              <w:jc w:val="center"/>
              <w:rPr>
                <w:rFonts w:ascii="Arial" w:hAnsi="Arial" w:cs="Arial"/>
                <w:noProof/>
              </w:rPr>
            </w:pPr>
            <w:r w:rsidRPr="008F66D4">
              <w:rPr>
                <w:rFonts w:ascii="Arial" w:hAnsi="Arial" w:cs="Arial"/>
                <w:noProof/>
                <w:lang w:val="en-US" w:eastAsia="ja-JP"/>
              </w:rPr>
              <w:drawing>
                <wp:inline distT="0" distB="0" distL="0" distR="0" wp14:anchorId="1598EE62" wp14:editId="26FDE72A">
                  <wp:extent cx="266065" cy="266065"/>
                  <wp:effectExtent l="0" t="0" r="0" b="0"/>
                  <wp:docPr id="1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0A7E50" w:rsidRPr="008F66D4" w:rsidRDefault="000A7E50" w:rsidP="000A7E50">
            <w:pPr>
              <w:pStyle w:val="Listenabsatz"/>
              <w:numPr>
                <w:ilvl w:val="0"/>
                <w:numId w:val="17"/>
              </w:numPr>
              <w:spacing w:before="120" w:line="360" w:lineRule="auto"/>
              <w:ind w:left="389"/>
              <w:jc w:val="both"/>
              <w:rPr>
                <w:rFonts w:ascii="Arial" w:hAnsi="Arial" w:cs="Arial"/>
              </w:rPr>
            </w:pPr>
            <w:r w:rsidRPr="008F66D4">
              <w:rPr>
                <w:rFonts w:ascii="Arial" w:hAnsi="Arial" w:cs="Arial"/>
              </w:rPr>
              <w:t xml:space="preserve">Drittlinien- und spätere Therapie in Kombination mit </w:t>
            </w:r>
            <w:proofErr w:type="spellStart"/>
            <w:r w:rsidRPr="008F66D4">
              <w:rPr>
                <w:rFonts w:ascii="Arial" w:hAnsi="Arial" w:cs="Arial"/>
              </w:rPr>
              <w:t>Dexamethason</w:t>
            </w:r>
            <w:proofErr w:type="spellEnd"/>
            <w:r w:rsidRPr="008F66D4">
              <w:rPr>
                <w:rFonts w:ascii="Arial" w:hAnsi="Arial" w:cs="Arial"/>
              </w:rPr>
              <w:t xml:space="preserve"> bei Patienten, die mindestens zwei vorausgegangene Therapien, darunter </w:t>
            </w:r>
            <w:proofErr w:type="spellStart"/>
            <w:r w:rsidRPr="008F66D4">
              <w:rPr>
                <w:rFonts w:ascii="Arial" w:hAnsi="Arial" w:cs="Arial"/>
              </w:rPr>
              <w:t>Bortezomib</w:t>
            </w:r>
            <w:proofErr w:type="spellEnd"/>
            <w:r w:rsidRPr="008F66D4">
              <w:rPr>
                <w:rFonts w:ascii="Arial" w:hAnsi="Arial" w:cs="Arial"/>
              </w:rPr>
              <w:t xml:space="preserve"> und </w:t>
            </w:r>
            <w:proofErr w:type="spellStart"/>
            <w:r w:rsidRPr="008F66D4">
              <w:rPr>
                <w:rFonts w:ascii="Arial" w:hAnsi="Arial" w:cs="Arial"/>
              </w:rPr>
              <w:t>Lenalidomid</w:t>
            </w:r>
            <w:proofErr w:type="spellEnd"/>
            <w:r w:rsidRPr="008F66D4">
              <w:rPr>
                <w:rFonts w:ascii="Arial" w:hAnsi="Arial" w:cs="Arial"/>
              </w:rPr>
              <w:t>, erhalten haben</w:t>
            </w:r>
          </w:p>
        </w:tc>
        <w:bookmarkStart w:id="1" w:name="_GoBack"/>
        <w:bookmarkEnd w:id="1"/>
      </w:tr>
      <w:tr w:rsidR="008D1F76" w:rsidTr="00DC5DAC">
        <w:tc>
          <w:tcPr>
            <w:tcW w:w="0" w:type="auto"/>
          </w:tcPr>
          <w:p w:rsidR="001E0E57" w:rsidRPr="001E0E57" w:rsidRDefault="001E0E57" w:rsidP="001E0E57">
            <w:pPr>
              <w:spacing w:before="120" w:line="360" w:lineRule="auto"/>
              <w:rPr>
                <w:rFonts w:ascii="Arial" w:hAnsi="Arial" w:cs="Arial"/>
              </w:rPr>
            </w:pPr>
            <w:r w:rsidRPr="001E0E57">
              <w:rPr>
                <w:rFonts w:ascii="Arial" w:hAnsi="Arial" w:cs="Arial"/>
              </w:rPr>
              <w:t xml:space="preserve">Prednison /  </w:t>
            </w:r>
            <w:proofErr w:type="spellStart"/>
            <w:r w:rsidRPr="001E0E57">
              <w:rPr>
                <w:rFonts w:ascii="Arial" w:hAnsi="Arial" w:cs="Arial"/>
              </w:rPr>
              <w:t>Prednisolon</w:t>
            </w:r>
            <w:proofErr w:type="spellEnd"/>
          </w:p>
        </w:tc>
        <w:tc>
          <w:tcPr>
            <w:tcW w:w="0" w:type="auto"/>
          </w:tcPr>
          <w:p w:rsidR="001E0E57" w:rsidRPr="001E0E57" w:rsidRDefault="008D1F76" w:rsidP="008D1F76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D1F76">
              <w:rPr>
                <w:rFonts w:ascii="Arial" w:hAnsi="Arial" w:cs="Arial"/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235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E0E57" w:rsidRPr="008D1F76" w:rsidRDefault="001E0E57" w:rsidP="008D1F76">
            <w:pPr>
              <w:pStyle w:val="Listenabsatz"/>
              <w:numPr>
                <w:ilvl w:val="0"/>
                <w:numId w:val="17"/>
              </w:numPr>
              <w:spacing w:before="120" w:line="360" w:lineRule="auto"/>
              <w:ind w:left="389"/>
              <w:jc w:val="both"/>
              <w:rPr>
                <w:rFonts w:ascii="Arial" w:hAnsi="Arial" w:cs="Arial"/>
              </w:rPr>
            </w:pPr>
            <w:r w:rsidRPr="008D1F76">
              <w:rPr>
                <w:rFonts w:ascii="Arial" w:hAnsi="Arial" w:cs="Arial"/>
              </w:rPr>
              <w:t xml:space="preserve">Multiples </w:t>
            </w:r>
            <w:proofErr w:type="spellStart"/>
            <w:r w:rsidRPr="008D1F76">
              <w:rPr>
                <w:rFonts w:ascii="Arial" w:hAnsi="Arial" w:cs="Arial"/>
              </w:rPr>
              <w:t>Myelom</w:t>
            </w:r>
            <w:proofErr w:type="spellEnd"/>
            <w:r w:rsidR="008D1F76" w:rsidRPr="008D1F76">
              <w:rPr>
                <w:rFonts w:ascii="Arial" w:hAnsi="Arial" w:cs="Arial"/>
              </w:rPr>
              <w:t>, Blutkrankheiten</w:t>
            </w:r>
          </w:p>
        </w:tc>
      </w:tr>
      <w:tr w:rsidR="008D1F76" w:rsidTr="00DC5DAC">
        <w:tc>
          <w:tcPr>
            <w:tcW w:w="0" w:type="auto"/>
          </w:tcPr>
          <w:p w:rsidR="001E0E57" w:rsidRPr="001E0E57" w:rsidRDefault="001E0E57" w:rsidP="001E0E57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  <w:r w:rsidRPr="001E0E57">
              <w:rPr>
                <w:rFonts w:ascii="Arial" w:hAnsi="Arial" w:cs="Arial"/>
              </w:rPr>
              <w:t>Thalidomid</w:t>
            </w:r>
          </w:p>
        </w:tc>
        <w:tc>
          <w:tcPr>
            <w:tcW w:w="0" w:type="auto"/>
          </w:tcPr>
          <w:p w:rsidR="001E0E57" w:rsidRPr="001E0E57" w:rsidRDefault="008D1F76" w:rsidP="008D1F76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D1F76">
              <w:rPr>
                <w:rFonts w:ascii="Arial" w:hAnsi="Arial" w:cs="Arial"/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236" name="Bild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1E0E57" w:rsidRPr="008D1F76" w:rsidRDefault="001E0E57" w:rsidP="008D1F76">
            <w:pPr>
              <w:pStyle w:val="Listenabsatz"/>
              <w:numPr>
                <w:ilvl w:val="0"/>
                <w:numId w:val="17"/>
              </w:numPr>
              <w:suppressAutoHyphens/>
              <w:spacing w:before="120" w:line="360" w:lineRule="auto"/>
              <w:ind w:left="389"/>
              <w:jc w:val="both"/>
              <w:rPr>
                <w:rFonts w:ascii="Arial" w:hAnsi="Arial" w:cs="Arial"/>
                <w:kern w:val="0"/>
              </w:rPr>
            </w:pPr>
            <w:r w:rsidRPr="008D1F76">
              <w:rPr>
                <w:rFonts w:ascii="Arial" w:hAnsi="Arial" w:cs="Arial"/>
                <w:kern w:val="0"/>
              </w:rPr>
              <w:t>Erstlinie</w:t>
            </w:r>
            <w:r w:rsidR="008D1F76">
              <w:rPr>
                <w:rFonts w:ascii="Arial" w:hAnsi="Arial" w:cs="Arial"/>
                <w:kern w:val="0"/>
              </w:rPr>
              <w:t xml:space="preserve">ntherapie: </w:t>
            </w:r>
            <w:r w:rsidRPr="008D1F76">
              <w:rPr>
                <w:rFonts w:ascii="Arial" w:hAnsi="Arial" w:cs="Arial"/>
                <w:kern w:val="0"/>
              </w:rPr>
              <w:tab/>
              <w:t xml:space="preserve">in Kombination mit </w:t>
            </w:r>
            <w:proofErr w:type="spellStart"/>
            <w:r w:rsidRPr="008D1F76">
              <w:rPr>
                <w:rFonts w:ascii="Arial" w:hAnsi="Arial" w:cs="Arial"/>
                <w:kern w:val="0"/>
              </w:rPr>
              <w:t>M</w:t>
            </w:r>
            <w:r w:rsidR="008D1F76">
              <w:rPr>
                <w:rFonts w:ascii="Arial" w:hAnsi="Arial" w:cs="Arial"/>
                <w:kern w:val="0"/>
              </w:rPr>
              <w:t>elphalan</w:t>
            </w:r>
            <w:proofErr w:type="spellEnd"/>
            <w:r w:rsidR="008D1F76">
              <w:rPr>
                <w:rFonts w:ascii="Arial" w:hAnsi="Arial" w:cs="Arial"/>
                <w:kern w:val="0"/>
              </w:rPr>
              <w:t xml:space="preserve"> und Prednison, w</w:t>
            </w:r>
            <w:r w:rsidRPr="008D1F76">
              <w:rPr>
                <w:rFonts w:ascii="Arial" w:hAnsi="Arial" w:cs="Arial"/>
                <w:kern w:val="0"/>
              </w:rPr>
              <w:t xml:space="preserve">enn Patient </w:t>
            </w:r>
            <w:r w:rsidRPr="008D1F76">
              <w:rPr>
                <w:rFonts w:ascii="Arial" w:hAnsi="Arial" w:cs="Arial"/>
                <w:kern w:val="0"/>
                <w:u w:val="single"/>
              </w:rPr>
              <w:t>&gt;</w:t>
            </w:r>
            <w:r w:rsidRPr="008D1F76">
              <w:rPr>
                <w:rFonts w:ascii="Arial" w:hAnsi="Arial" w:cs="Arial"/>
                <w:kern w:val="0"/>
              </w:rPr>
              <w:t xml:space="preserve"> 65 Jahre </w:t>
            </w:r>
            <w:r w:rsidR="008D1F76">
              <w:rPr>
                <w:rFonts w:ascii="Arial" w:hAnsi="Arial" w:cs="Arial"/>
                <w:kern w:val="0"/>
              </w:rPr>
              <w:t xml:space="preserve">alt </w:t>
            </w:r>
            <w:r w:rsidRPr="008D1F76">
              <w:rPr>
                <w:rFonts w:ascii="Arial" w:hAnsi="Arial" w:cs="Arial"/>
                <w:kern w:val="0"/>
              </w:rPr>
              <w:t xml:space="preserve">oder für eine </w:t>
            </w:r>
            <w:r w:rsidR="008D1F76">
              <w:rPr>
                <w:rFonts w:ascii="Arial" w:hAnsi="Arial" w:cs="Arial"/>
                <w:kern w:val="0"/>
              </w:rPr>
              <w:t xml:space="preserve">hochdosierte </w:t>
            </w:r>
            <w:proofErr w:type="spellStart"/>
            <w:r w:rsidR="008D1F76">
              <w:rPr>
                <w:rFonts w:ascii="Arial" w:hAnsi="Arial" w:cs="Arial"/>
                <w:kern w:val="0"/>
              </w:rPr>
              <w:t>Chemt</w:t>
            </w:r>
            <w:r w:rsidRPr="008D1F76">
              <w:rPr>
                <w:rFonts w:ascii="Arial" w:hAnsi="Arial" w:cs="Arial"/>
                <w:kern w:val="0"/>
              </w:rPr>
              <w:t>herapie</w:t>
            </w:r>
            <w:proofErr w:type="spellEnd"/>
            <w:r w:rsidRPr="008D1F76">
              <w:rPr>
                <w:rFonts w:ascii="Arial" w:hAnsi="Arial" w:cs="Arial"/>
                <w:kern w:val="0"/>
              </w:rPr>
              <w:t xml:space="preserve"> nicht geeignet ist</w:t>
            </w:r>
          </w:p>
          <w:p w:rsidR="001E0E57" w:rsidRPr="008D1F76" w:rsidRDefault="001E0E57" w:rsidP="008D1F76">
            <w:pPr>
              <w:suppressAutoHyphens/>
              <w:spacing w:before="120" w:line="360" w:lineRule="auto"/>
              <w:jc w:val="both"/>
              <w:rPr>
                <w:rFonts w:ascii="Arial" w:hAnsi="Arial" w:cs="Arial"/>
                <w:b/>
                <w:bCs/>
                <w:kern w:val="0"/>
              </w:rPr>
            </w:pPr>
            <w:r w:rsidRPr="001E0E57">
              <w:rPr>
                <w:rFonts w:ascii="Arial" w:hAnsi="Arial" w:cs="Arial"/>
                <w:b/>
                <w:bCs/>
                <w:kern w:val="0"/>
              </w:rPr>
              <w:lastRenderedPageBreak/>
              <w:t>T Rezept!</w:t>
            </w:r>
          </w:p>
        </w:tc>
      </w:tr>
    </w:tbl>
    <w:p w:rsidR="007F3F6F" w:rsidRDefault="007F3F6F" w:rsidP="007F3F6F">
      <w:pPr>
        <w:spacing w:before="12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val="en-US" w:eastAsia="ja-JP"/>
        </w:rPr>
        <w:lastRenderedPageBreak/>
        <w:drawing>
          <wp:inline distT="0" distB="0" distL="0" distR="0">
            <wp:extent cx="138430" cy="138430"/>
            <wp:effectExtent l="19050" t="0" r="0" b="0"/>
            <wp:docPr id="31" name="Bild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 xml:space="preserve"> zugelassen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noProof/>
          <w:sz w:val="16"/>
          <w:szCs w:val="16"/>
          <w:lang w:val="en-US" w:eastAsia="ja-JP"/>
        </w:rPr>
        <w:drawing>
          <wp:inline distT="0" distB="0" distL="0" distR="0">
            <wp:extent cx="138430" cy="138430"/>
            <wp:effectExtent l="19050" t="0" r="0" b="0"/>
            <wp:docPr id="224" name="Bild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>nicht zugelassen</w:t>
      </w:r>
    </w:p>
    <w:p w:rsidR="007F3F6F" w:rsidRDefault="007F3F6F" w:rsidP="007F3F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296D" w:rsidRDefault="00C6296D">
      <w:pPr>
        <w:widowControl/>
        <w:overflowPunct/>
        <w:autoSpaceDE/>
        <w:autoSpaceDN/>
        <w:adjustRightInd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br w:type="page"/>
      </w:r>
    </w:p>
    <w:p w:rsidR="00DC5DAC" w:rsidRDefault="00DE342B" w:rsidP="00DC5DAC">
      <w:pPr>
        <w:spacing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 xml:space="preserve">Tabelle </w:t>
      </w:r>
      <w:r w:rsidR="008D1F76">
        <w:rPr>
          <w:rFonts w:ascii="Arial" w:hAnsi="Arial" w:cs="Arial"/>
          <w:b/>
          <w:bCs/>
          <w:i/>
          <w:iCs/>
          <w:sz w:val="22"/>
          <w:szCs w:val="22"/>
        </w:rPr>
        <w:t>2</w:t>
      </w:r>
      <w:r w:rsidR="00B10680">
        <w:rPr>
          <w:rFonts w:ascii="Arial" w:hAnsi="Arial" w:cs="Arial"/>
          <w:b/>
          <w:bCs/>
          <w:i/>
          <w:iCs/>
          <w:sz w:val="22"/>
          <w:szCs w:val="22"/>
        </w:rPr>
        <w:t xml:space="preserve">: </w:t>
      </w:r>
      <w:r w:rsidR="00990A4F">
        <w:rPr>
          <w:rFonts w:ascii="Arial" w:hAnsi="Arial" w:cs="Arial"/>
          <w:b/>
          <w:bCs/>
          <w:i/>
          <w:iCs/>
          <w:sz w:val="22"/>
          <w:szCs w:val="22"/>
        </w:rPr>
        <w:t>Knochen-modifizierende Substanzen (</w:t>
      </w:r>
      <w:proofErr w:type="spellStart"/>
      <w:r w:rsidR="00DC5DAC">
        <w:rPr>
          <w:rFonts w:ascii="Arial" w:hAnsi="Arial" w:cs="Arial"/>
          <w:b/>
          <w:bCs/>
          <w:i/>
          <w:iCs/>
          <w:sz w:val="22"/>
          <w:szCs w:val="22"/>
        </w:rPr>
        <w:t>Bisphosphonate</w:t>
      </w:r>
      <w:proofErr w:type="spellEnd"/>
      <w:r w:rsidR="00DC5DAC">
        <w:rPr>
          <w:rFonts w:ascii="Arial" w:hAnsi="Arial" w:cs="Arial"/>
          <w:b/>
          <w:bCs/>
          <w:i/>
          <w:iCs/>
          <w:sz w:val="22"/>
          <w:szCs w:val="22"/>
        </w:rPr>
        <w:t xml:space="preserve"> und RANKL-Antikö</w:t>
      </w:r>
      <w:r w:rsidR="00B10680">
        <w:rPr>
          <w:rFonts w:ascii="Arial" w:hAnsi="Arial" w:cs="Arial"/>
          <w:b/>
          <w:bCs/>
          <w:i/>
          <w:iCs/>
          <w:sz w:val="22"/>
          <w:szCs w:val="22"/>
        </w:rPr>
        <w:t>rper</w:t>
      </w:r>
      <w:r w:rsidR="00990A4F">
        <w:rPr>
          <w:rFonts w:ascii="Arial" w:hAnsi="Arial" w:cs="Arial"/>
          <w:b/>
          <w:bCs/>
          <w:i/>
          <w:iCs/>
          <w:sz w:val="22"/>
          <w:szCs w:val="22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5"/>
        <w:gridCol w:w="1217"/>
        <w:gridCol w:w="6776"/>
      </w:tblGrid>
      <w:tr w:rsidR="00DC5DAC" w:rsidRPr="00805156" w:rsidTr="00DC5DAC"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  <w:b/>
                <w:bCs/>
              </w:rPr>
              <w:t>Substanz</w:t>
            </w:r>
          </w:p>
        </w:tc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  <w:b/>
                <w:bCs/>
              </w:rPr>
              <w:t>Zulassung</w:t>
            </w:r>
          </w:p>
        </w:tc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  <w:b/>
                <w:bCs/>
              </w:rPr>
              <w:t>Anmerkungen</w:t>
            </w:r>
          </w:p>
        </w:tc>
      </w:tr>
      <w:tr w:rsidR="00DC5DAC" w:rsidRPr="00805156" w:rsidTr="00DC5DAC"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rPr>
                <w:rFonts w:ascii="Arial" w:hAnsi="Arial" w:cs="Arial"/>
              </w:rPr>
            </w:pPr>
            <w:proofErr w:type="spellStart"/>
            <w:r w:rsidRPr="00805156">
              <w:rPr>
                <w:rFonts w:ascii="Arial" w:hAnsi="Arial" w:cs="Arial"/>
              </w:rPr>
              <w:t>Clodronat</w:t>
            </w:r>
            <w:proofErr w:type="spellEnd"/>
          </w:p>
        </w:tc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05156">
              <w:rPr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200" name="Bild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C5DAC" w:rsidRPr="00805156" w:rsidRDefault="00DC5DAC" w:rsidP="00DC5DAC">
            <w:pPr>
              <w:numPr>
                <w:ilvl w:val="0"/>
                <w:numId w:val="7"/>
              </w:numPr>
              <w:spacing w:before="120" w:line="360" w:lineRule="auto"/>
              <w:ind w:left="360" w:hanging="360"/>
              <w:rPr>
                <w:rFonts w:ascii="Arial" w:hAnsi="Arial" w:cs="Arial"/>
              </w:rPr>
            </w:pPr>
            <w:proofErr w:type="spellStart"/>
            <w:r w:rsidRPr="00805156">
              <w:rPr>
                <w:rFonts w:ascii="Arial" w:hAnsi="Arial" w:cs="Arial"/>
              </w:rPr>
              <w:t>Osteolysen</w:t>
            </w:r>
            <w:proofErr w:type="spellEnd"/>
          </w:p>
          <w:p w:rsidR="00DC5DAC" w:rsidRPr="00805156" w:rsidRDefault="008837AD" w:rsidP="008837AD">
            <w:pPr>
              <w:numPr>
                <w:ilvl w:val="0"/>
                <w:numId w:val="7"/>
              </w:numPr>
              <w:spacing w:before="120" w:line="360" w:lineRule="auto"/>
              <w:ind w:left="360" w:hanging="360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</w:rPr>
              <w:t xml:space="preserve">tumorinduzierte </w:t>
            </w:r>
            <w:proofErr w:type="spellStart"/>
            <w:r w:rsidR="00DC5DAC" w:rsidRPr="00805156">
              <w:rPr>
                <w:rFonts w:ascii="Arial" w:hAnsi="Arial" w:cs="Arial"/>
              </w:rPr>
              <w:t>Hyperkalzämie</w:t>
            </w:r>
            <w:proofErr w:type="spellEnd"/>
          </w:p>
        </w:tc>
      </w:tr>
      <w:tr w:rsidR="00DC5DAC" w:rsidRPr="00805156" w:rsidTr="00DC5DAC"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rPr>
                <w:rFonts w:ascii="Arial" w:hAnsi="Arial" w:cs="Arial"/>
              </w:rPr>
            </w:pPr>
            <w:proofErr w:type="spellStart"/>
            <w:r w:rsidRPr="00805156">
              <w:rPr>
                <w:rFonts w:ascii="Arial" w:hAnsi="Arial" w:cs="Arial"/>
              </w:rPr>
              <w:t>Denosumab</w:t>
            </w:r>
            <w:proofErr w:type="spellEnd"/>
          </w:p>
        </w:tc>
        <w:tc>
          <w:tcPr>
            <w:tcW w:w="0" w:type="auto"/>
          </w:tcPr>
          <w:p w:rsidR="00DC5DAC" w:rsidRPr="00805156" w:rsidRDefault="00805156" w:rsidP="00DC5DAC">
            <w:pPr>
              <w:spacing w:before="120" w:line="360" w:lineRule="auto"/>
              <w:jc w:val="center"/>
              <w:rPr>
                <w:noProof/>
              </w:rPr>
            </w:pPr>
            <w:r w:rsidRPr="00805156">
              <w:rPr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237" name="Bild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C5DAC" w:rsidRPr="00805156" w:rsidRDefault="00DC5DAC" w:rsidP="00805156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DC5DAC" w:rsidRPr="00805156" w:rsidTr="00DC5DAC"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rPr>
                <w:rFonts w:ascii="Arial" w:hAnsi="Arial" w:cs="Arial"/>
              </w:rPr>
            </w:pPr>
            <w:proofErr w:type="spellStart"/>
            <w:r w:rsidRPr="00805156">
              <w:rPr>
                <w:rFonts w:ascii="Arial" w:hAnsi="Arial" w:cs="Arial"/>
              </w:rPr>
              <w:t>Ibandronat</w:t>
            </w:r>
            <w:proofErr w:type="spellEnd"/>
          </w:p>
        </w:tc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05156">
              <w:rPr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201" name="Bild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8837AD" w:rsidRPr="00805156" w:rsidRDefault="008837AD" w:rsidP="00DC5DAC">
            <w:pPr>
              <w:numPr>
                <w:ilvl w:val="0"/>
                <w:numId w:val="7"/>
              </w:numPr>
              <w:spacing w:before="120" w:line="360" w:lineRule="auto"/>
              <w:ind w:left="360" w:hanging="360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</w:rPr>
              <w:t xml:space="preserve">tumorinduzierte </w:t>
            </w:r>
            <w:proofErr w:type="spellStart"/>
            <w:r w:rsidRPr="00805156">
              <w:rPr>
                <w:rFonts w:ascii="Arial" w:hAnsi="Arial" w:cs="Arial"/>
              </w:rPr>
              <w:t>Hyperkalzämie</w:t>
            </w:r>
            <w:proofErr w:type="spellEnd"/>
          </w:p>
        </w:tc>
      </w:tr>
      <w:tr w:rsidR="00DC5DAC" w:rsidRPr="00805156" w:rsidTr="00DC5DAC"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rPr>
                <w:rFonts w:ascii="Arial" w:hAnsi="Arial" w:cs="Arial"/>
              </w:rPr>
            </w:pPr>
            <w:proofErr w:type="spellStart"/>
            <w:r w:rsidRPr="00805156">
              <w:rPr>
                <w:rFonts w:ascii="Arial" w:hAnsi="Arial" w:cs="Arial"/>
              </w:rPr>
              <w:t>Pamidronat</w:t>
            </w:r>
            <w:proofErr w:type="spellEnd"/>
          </w:p>
        </w:tc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05156">
              <w:rPr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202" name="Bild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C5DAC" w:rsidRPr="00805156" w:rsidRDefault="00805156" w:rsidP="00DC5DAC">
            <w:pPr>
              <w:numPr>
                <w:ilvl w:val="0"/>
                <w:numId w:val="7"/>
              </w:numPr>
              <w:spacing w:before="120" w:line="360" w:lineRule="auto"/>
              <w:ind w:left="360" w:hanging="360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</w:rPr>
              <w:t xml:space="preserve">Ergänzung zur chemotherapeutischen Basisbehandlung bei Pat. mit Multiplem </w:t>
            </w:r>
            <w:proofErr w:type="spellStart"/>
            <w:r w:rsidRPr="00805156">
              <w:rPr>
                <w:rFonts w:ascii="Arial" w:hAnsi="Arial" w:cs="Arial"/>
              </w:rPr>
              <w:t>Myelom</w:t>
            </w:r>
            <w:proofErr w:type="spellEnd"/>
            <w:r w:rsidRPr="00805156">
              <w:rPr>
                <w:rFonts w:ascii="Arial" w:hAnsi="Arial" w:cs="Arial"/>
              </w:rPr>
              <w:t xml:space="preserve"> im Stadium III mit </w:t>
            </w:r>
            <w:proofErr w:type="spellStart"/>
            <w:r w:rsidRPr="00805156">
              <w:rPr>
                <w:rFonts w:ascii="Arial" w:hAnsi="Arial" w:cs="Arial"/>
              </w:rPr>
              <w:t>osteolytischen</w:t>
            </w:r>
            <w:proofErr w:type="spellEnd"/>
            <w:r w:rsidRPr="00805156">
              <w:rPr>
                <w:rFonts w:ascii="Arial" w:hAnsi="Arial" w:cs="Arial"/>
              </w:rPr>
              <w:t xml:space="preserve"> Läsionen zur Senkung der skelettbezogenen Morbiditätsrate</w:t>
            </w:r>
          </w:p>
          <w:p w:rsidR="00DC5DAC" w:rsidRPr="00805156" w:rsidRDefault="00D27374" w:rsidP="00DC5DAC">
            <w:pPr>
              <w:numPr>
                <w:ilvl w:val="0"/>
                <w:numId w:val="7"/>
              </w:numPr>
              <w:spacing w:before="120" w:line="360" w:lineRule="auto"/>
              <w:ind w:left="360" w:hanging="360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</w:rPr>
              <w:t xml:space="preserve">tumorinduzierte </w:t>
            </w:r>
            <w:proofErr w:type="spellStart"/>
            <w:r w:rsidR="00DC5DAC" w:rsidRPr="00805156">
              <w:rPr>
                <w:rFonts w:ascii="Arial" w:hAnsi="Arial" w:cs="Arial"/>
              </w:rPr>
              <w:t>Hyperkalzämie</w:t>
            </w:r>
            <w:proofErr w:type="spellEnd"/>
          </w:p>
        </w:tc>
      </w:tr>
      <w:tr w:rsidR="00DC5DAC" w:rsidRPr="00805156" w:rsidTr="00DC5DAC"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rPr>
                <w:rFonts w:ascii="Arial" w:hAnsi="Arial" w:cs="Arial"/>
              </w:rPr>
            </w:pPr>
            <w:proofErr w:type="spellStart"/>
            <w:r w:rsidRPr="00805156">
              <w:rPr>
                <w:rFonts w:ascii="Arial" w:hAnsi="Arial" w:cs="Arial"/>
              </w:rPr>
              <w:t>Zoledronat</w:t>
            </w:r>
            <w:proofErr w:type="spellEnd"/>
          </w:p>
        </w:tc>
        <w:tc>
          <w:tcPr>
            <w:tcW w:w="0" w:type="auto"/>
          </w:tcPr>
          <w:p w:rsidR="00DC5DAC" w:rsidRPr="00805156" w:rsidRDefault="00DC5DAC" w:rsidP="00DC5DAC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 w:rsidRPr="00805156">
              <w:rPr>
                <w:noProof/>
                <w:lang w:val="en-US" w:eastAsia="ja-JP"/>
              </w:rPr>
              <w:drawing>
                <wp:inline distT="0" distB="0" distL="0" distR="0">
                  <wp:extent cx="266065" cy="266065"/>
                  <wp:effectExtent l="0" t="0" r="0" b="0"/>
                  <wp:docPr id="203" name="Bild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DC5DAC" w:rsidRPr="00805156" w:rsidRDefault="00DC5DAC" w:rsidP="00DC5DAC">
            <w:pPr>
              <w:numPr>
                <w:ilvl w:val="0"/>
                <w:numId w:val="7"/>
              </w:numPr>
              <w:spacing w:before="120" w:line="360" w:lineRule="auto"/>
              <w:ind w:left="360" w:hanging="360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</w:rPr>
              <w:t>Prävention skelettbezogener Komplikationen</w:t>
            </w:r>
            <w:r w:rsidR="00D27374" w:rsidRPr="00805156">
              <w:rPr>
                <w:rFonts w:ascii="Arial" w:hAnsi="Arial" w:cs="Arial"/>
              </w:rPr>
              <w:t xml:space="preserve"> bei auf das Skelett ausgedehnter Tumorerkrankung</w:t>
            </w:r>
          </w:p>
          <w:p w:rsidR="00DC5DAC" w:rsidRPr="00805156" w:rsidRDefault="00805156" w:rsidP="00DC5DAC">
            <w:pPr>
              <w:numPr>
                <w:ilvl w:val="0"/>
                <w:numId w:val="7"/>
              </w:numPr>
              <w:spacing w:before="120" w:line="360" w:lineRule="auto"/>
              <w:ind w:left="360" w:hanging="360"/>
              <w:rPr>
                <w:rFonts w:ascii="Arial" w:hAnsi="Arial" w:cs="Arial"/>
              </w:rPr>
            </w:pPr>
            <w:r w:rsidRPr="00805156">
              <w:rPr>
                <w:rFonts w:ascii="Arial" w:hAnsi="Arial" w:cs="Arial"/>
              </w:rPr>
              <w:t xml:space="preserve">tumorinduzierte </w:t>
            </w:r>
            <w:proofErr w:type="spellStart"/>
            <w:r w:rsidR="00DC5DAC" w:rsidRPr="00805156">
              <w:rPr>
                <w:rFonts w:ascii="Arial" w:hAnsi="Arial" w:cs="Arial"/>
              </w:rPr>
              <w:t>Hyperkalzämie</w:t>
            </w:r>
            <w:proofErr w:type="spellEnd"/>
          </w:p>
        </w:tc>
      </w:tr>
    </w:tbl>
    <w:p w:rsidR="00DC5DAC" w:rsidRDefault="00DC5DAC" w:rsidP="00DC5DAC">
      <w:pPr>
        <w:spacing w:before="1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val="en-US" w:eastAsia="ja-JP"/>
        </w:rPr>
        <w:drawing>
          <wp:inline distT="0" distB="0" distL="0" distR="0">
            <wp:extent cx="138430" cy="138430"/>
            <wp:effectExtent l="19050" t="0" r="0" b="0"/>
            <wp:docPr id="74" name="Bild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 xml:space="preserve"> zugelassen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noProof/>
          <w:sz w:val="16"/>
          <w:szCs w:val="16"/>
          <w:lang w:val="en-US" w:eastAsia="ja-JP"/>
        </w:rPr>
        <w:drawing>
          <wp:inline distT="0" distB="0" distL="0" distR="0">
            <wp:extent cx="138430" cy="138430"/>
            <wp:effectExtent l="19050" t="0" r="0" b="0"/>
            <wp:docPr id="75" name="Bild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>nicht zugelassen</w:t>
      </w:r>
    </w:p>
    <w:p w:rsidR="00DC5DAC" w:rsidRDefault="00DC5DAC"/>
    <w:p w:rsidR="00DC5DAC" w:rsidRDefault="00DC5DAC"/>
    <w:sectPr w:rsidR="00DC5DAC" w:rsidSect="001E61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BB21550"/>
    <w:lvl w:ilvl="0">
      <w:numFmt w:val="bullet"/>
      <w:lvlText w:val="*"/>
      <w:lvlJc w:val="left"/>
    </w:lvl>
  </w:abstractNum>
  <w:abstractNum w:abstractNumId="1">
    <w:nsid w:val="13D21B92"/>
    <w:multiLevelType w:val="hybridMultilevel"/>
    <w:tmpl w:val="2500ED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F279F"/>
    <w:multiLevelType w:val="hybridMultilevel"/>
    <w:tmpl w:val="163089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F26EFD"/>
    <w:multiLevelType w:val="hybridMultilevel"/>
    <w:tmpl w:val="461298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421D3"/>
    <w:multiLevelType w:val="hybridMultilevel"/>
    <w:tmpl w:val="8B084D2C"/>
    <w:lvl w:ilvl="0" w:tplc="0407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5">
    <w:nsid w:val="2F76709F"/>
    <w:multiLevelType w:val="hybridMultilevel"/>
    <w:tmpl w:val="F4B80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15325"/>
    <w:multiLevelType w:val="hybridMultilevel"/>
    <w:tmpl w:val="E1F2B4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E04600"/>
    <w:multiLevelType w:val="hybridMultilevel"/>
    <w:tmpl w:val="4336D7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B502D"/>
    <w:multiLevelType w:val="hybridMultilevel"/>
    <w:tmpl w:val="FF38D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5120A"/>
    <w:multiLevelType w:val="hybridMultilevel"/>
    <w:tmpl w:val="5A46A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0E058B"/>
    <w:multiLevelType w:val="hybridMultilevel"/>
    <w:tmpl w:val="9830EEF6"/>
    <w:lvl w:ilvl="0" w:tplc="0407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1">
    <w:nsid w:val="4C7D255B"/>
    <w:multiLevelType w:val="hybridMultilevel"/>
    <w:tmpl w:val="8B92CDBA"/>
    <w:lvl w:ilvl="0" w:tplc="0407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2">
    <w:nsid w:val="4E0F659A"/>
    <w:multiLevelType w:val="hybridMultilevel"/>
    <w:tmpl w:val="49489FA8"/>
    <w:lvl w:ilvl="0" w:tplc="0407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3">
    <w:nsid w:val="538B433B"/>
    <w:multiLevelType w:val="hybridMultilevel"/>
    <w:tmpl w:val="C7C41D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3D4C82"/>
    <w:multiLevelType w:val="hybridMultilevel"/>
    <w:tmpl w:val="BBC282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8C02C9"/>
    <w:multiLevelType w:val="hybridMultilevel"/>
    <w:tmpl w:val="9C8669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3C5A72"/>
    <w:multiLevelType w:val="hybridMultilevel"/>
    <w:tmpl w:val="AD82F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3B7C77"/>
    <w:multiLevelType w:val="hybridMultilevel"/>
    <w:tmpl w:val="76181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E051A"/>
    <w:multiLevelType w:val="hybridMultilevel"/>
    <w:tmpl w:val="AA5C0A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D136CF"/>
    <w:multiLevelType w:val="hybridMultilevel"/>
    <w:tmpl w:val="BBA67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D34843"/>
    <w:multiLevelType w:val="hybridMultilevel"/>
    <w:tmpl w:val="117649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873717"/>
    <w:multiLevelType w:val="hybridMultilevel"/>
    <w:tmpl w:val="BA26F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820480"/>
    <w:multiLevelType w:val="hybridMultilevel"/>
    <w:tmpl w:val="7FFC8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96655B"/>
    <w:multiLevelType w:val="hybridMultilevel"/>
    <w:tmpl w:val="AE963B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8"/>
  </w:num>
  <w:num w:numId="4">
    <w:abstractNumId w:val="1"/>
  </w:num>
  <w:num w:numId="5">
    <w:abstractNumId w:val="19"/>
  </w:num>
  <w:num w:numId="6">
    <w:abstractNumId w:val="6"/>
  </w:num>
  <w:num w:numId="7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8">
    <w:abstractNumId w:val="17"/>
  </w:num>
  <w:num w:numId="9">
    <w:abstractNumId w:val="9"/>
  </w:num>
  <w:num w:numId="10">
    <w:abstractNumId w:val="12"/>
  </w:num>
  <w:num w:numId="11">
    <w:abstractNumId w:val="4"/>
  </w:num>
  <w:num w:numId="12">
    <w:abstractNumId w:val="11"/>
  </w:num>
  <w:num w:numId="13">
    <w:abstractNumId w:val="13"/>
  </w:num>
  <w:num w:numId="14">
    <w:abstractNumId w:val="10"/>
  </w:num>
  <w:num w:numId="15">
    <w:abstractNumId w:val="22"/>
  </w:num>
  <w:num w:numId="16">
    <w:abstractNumId w:val="20"/>
  </w:num>
  <w:num w:numId="17">
    <w:abstractNumId w:val="5"/>
  </w:num>
  <w:num w:numId="18">
    <w:abstractNumId w:val="7"/>
  </w:num>
  <w:num w:numId="19">
    <w:abstractNumId w:val="14"/>
  </w:num>
  <w:num w:numId="20">
    <w:abstractNumId w:val="15"/>
  </w:num>
  <w:num w:numId="21">
    <w:abstractNumId w:val="16"/>
  </w:num>
  <w:num w:numId="22">
    <w:abstractNumId w:val="18"/>
  </w:num>
  <w:num w:numId="23">
    <w:abstractNumId w:val="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01B4C"/>
    <w:rsid w:val="00045390"/>
    <w:rsid w:val="000A7E50"/>
    <w:rsid w:val="00110FE9"/>
    <w:rsid w:val="00142612"/>
    <w:rsid w:val="00155572"/>
    <w:rsid w:val="0016448F"/>
    <w:rsid w:val="001E0E57"/>
    <w:rsid w:val="001E6197"/>
    <w:rsid w:val="001F1025"/>
    <w:rsid w:val="002005BD"/>
    <w:rsid w:val="00225E8B"/>
    <w:rsid w:val="00301B4C"/>
    <w:rsid w:val="003565E3"/>
    <w:rsid w:val="00376578"/>
    <w:rsid w:val="004C0993"/>
    <w:rsid w:val="004C0D26"/>
    <w:rsid w:val="00516FB2"/>
    <w:rsid w:val="00531E51"/>
    <w:rsid w:val="00581B2C"/>
    <w:rsid w:val="0060784B"/>
    <w:rsid w:val="00612357"/>
    <w:rsid w:val="006B0056"/>
    <w:rsid w:val="006E0C5D"/>
    <w:rsid w:val="00705A20"/>
    <w:rsid w:val="00715636"/>
    <w:rsid w:val="00735E6F"/>
    <w:rsid w:val="00741889"/>
    <w:rsid w:val="0074372A"/>
    <w:rsid w:val="00785855"/>
    <w:rsid w:val="00793C2E"/>
    <w:rsid w:val="007C063E"/>
    <w:rsid w:val="007E2136"/>
    <w:rsid w:val="007F3F6F"/>
    <w:rsid w:val="00805156"/>
    <w:rsid w:val="00823F65"/>
    <w:rsid w:val="0084263D"/>
    <w:rsid w:val="008837AD"/>
    <w:rsid w:val="00891B1A"/>
    <w:rsid w:val="008D1F76"/>
    <w:rsid w:val="008F66D4"/>
    <w:rsid w:val="00900EDC"/>
    <w:rsid w:val="00941D7A"/>
    <w:rsid w:val="00964018"/>
    <w:rsid w:val="009905F6"/>
    <w:rsid w:val="00990A4F"/>
    <w:rsid w:val="009A727D"/>
    <w:rsid w:val="00A16AC1"/>
    <w:rsid w:val="00A35B0C"/>
    <w:rsid w:val="00A9202B"/>
    <w:rsid w:val="00AB58C4"/>
    <w:rsid w:val="00AC61E5"/>
    <w:rsid w:val="00AE15DE"/>
    <w:rsid w:val="00B10680"/>
    <w:rsid w:val="00B91293"/>
    <w:rsid w:val="00BB1C4D"/>
    <w:rsid w:val="00BF5F06"/>
    <w:rsid w:val="00C31024"/>
    <w:rsid w:val="00C34817"/>
    <w:rsid w:val="00C6296D"/>
    <w:rsid w:val="00C65EC6"/>
    <w:rsid w:val="00CF25D9"/>
    <w:rsid w:val="00D26764"/>
    <w:rsid w:val="00D27374"/>
    <w:rsid w:val="00D5427B"/>
    <w:rsid w:val="00DC5DAC"/>
    <w:rsid w:val="00DD6D6F"/>
    <w:rsid w:val="00DE342B"/>
    <w:rsid w:val="00E23649"/>
    <w:rsid w:val="00E27648"/>
    <w:rsid w:val="00E426C2"/>
    <w:rsid w:val="00E7463D"/>
    <w:rsid w:val="00E76647"/>
    <w:rsid w:val="00ED3B4F"/>
    <w:rsid w:val="00EE5180"/>
    <w:rsid w:val="00EE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1B4C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kern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01B4C"/>
    <w:pPr>
      <w:ind w:left="720"/>
      <w:contextualSpacing/>
    </w:pPr>
  </w:style>
  <w:style w:type="table" w:styleId="Tabellenraster">
    <w:name w:val="Table Grid"/>
    <w:basedOn w:val="NormaleTabelle"/>
    <w:uiPriority w:val="59"/>
    <w:rsid w:val="00301B4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1B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1B4C"/>
    <w:rPr>
      <w:rFonts w:ascii="Tahoma" w:eastAsia="Times New Roman" w:hAnsi="Tahoma" w:cs="Tahoma"/>
      <w:kern w:val="28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rsid w:val="00735E6F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35E6F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35E6F"/>
    <w:rPr>
      <w:rFonts w:ascii="Times New Roman" w:eastAsia="Times New Roman" w:hAnsi="Times New Roman" w:cs="Times New Roman"/>
      <w:kern w:val="28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Bernhard Woermann</dc:creator>
  <cp:keywords/>
  <dc:description/>
  <cp:lastModifiedBy>Christoph</cp:lastModifiedBy>
  <cp:revision>7</cp:revision>
  <dcterms:created xsi:type="dcterms:W3CDTF">2013-01-28T20:41:00Z</dcterms:created>
  <dcterms:modified xsi:type="dcterms:W3CDTF">2013-09-07T18:02:00Z</dcterms:modified>
</cp:coreProperties>
</file>