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Courier New" w:hAnsi="Courier New"/>
          <w:b/>
          <w:bCs/>
          <w:sz w:val="28"/>
          <w:szCs w:val="28"/>
        </w:rPr>
        <w:t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rFonts w:ascii="Courier New" w:hAnsi="Courier New"/>
          <w:b/>
          <w:bCs/>
          <w:sz w:val="28"/>
          <w:szCs w:val="28"/>
        </w:rPr>
        <w:t>control_authority</w:t>
      </w:r>
    </w:p>
    <w:p>
      <w:pPr>
        <w:pStyle w:val="style0"/>
        <w:spacing w:after="0" w:before="240"/>
        <w:contextualSpacing w:val="false"/>
        <w:jc w:val="center"/>
      </w:pPr>
      <w:r>
        <w:rPr/>
      </w:r>
    </w:p>
    <w:p>
      <w:pPr>
        <w:pStyle w:val="style0"/>
        <w:spacing w:after="0" w:before="240"/>
        <w:contextualSpacing w:val="false"/>
        <w:jc w:val="center"/>
      </w:pPr>
      <w:r>
        <w:rPr>
          <w:b/>
          <w:bCs/>
          <w:sz w:val="26"/>
          <w:szCs w:val="26"/>
        </w:rPr>
        <w:t>РАСПОРЯЖЕНИЕ (ПРИКАЗ)</w:t>
        <w:br/>
      </w:r>
      <w:r>
        <w:rPr>
          <w:sz w:val="26"/>
          <w:szCs w:val="26"/>
        </w:rPr>
        <w:t>органа государственного контроля (надзора), органа муниципального контроля</w:t>
      </w:r>
    </w:p>
    <w:tbl>
      <w:tblPr>
        <w:jc w:val="center"/>
        <w:tblInd w:type="dxa" w:w="108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916"/>
        <w:gridCol w:w="6114"/>
        <w:gridCol w:w="1551"/>
      </w:tblGrid>
      <w:tr>
        <w:trPr>
          <w:cantSplit w:val="false"/>
        </w:trPr>
        <w:tc>
          <w:tcPr>
            <w:tcW w:type="dxa" w:w="1916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0" w:right="57"/>
              <w:jc w:val="right"/>
            </w:pPr>
            <w:r>
              <w:rPr>
                <w:sz w:val="26"/>
                <w:szCs w:val="26"/>
              </w:rPr>
              <w:t>о проведении</w:t>
            </w:r>
          </w:p>
        </w:tc>
        <w:tc>
          <w:tcPr>
            <w:tcW w:type="dxa" w:w="6114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shd w:fill="C0C0C0" w:val="clear"/>
                <w:lang w:val="en-US"/>
              </w:rPr>
              <w:t>внеплановая, документарная и выездная</w:t>
            </w:r>
          </w:p>
        </w:tc>
        <w:tc>
          <w:tcPr>
            <w:tcW w:type="dxa" w:w="155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6"/>
                <w:szCs w:val="26"/>
              </w:rPr>
              <w:t>проверки</w:t>
            </w:r>
          </w:p>
        </w:tc>
      </w:tr>
      <w:tr>
        <w:trPr>
          <w:cantSplit w:val="false"/>
        </w:trPr>
        <w:tc>
          <w:tcPr>
            <w:tcW w:type="dxa" w:w="1916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611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  <w:t>(плановой/внеплановой, документарной/выездной)</w:t>
            </w:r>
          </w:p>
        </w:tc>
        <w:tc>
          <w:tcPr>
            <w:tcW w:type="dxa" w:w="155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  <w:jc w:val="center"/>
      </w:pPr>
      <w:r>
        <w:rPr>
          <w:sz w:val="26"/>
          <w:szCs w:val="26"/>
        </w:rPr>
        <w:t>юридического лица, индивидуального предпринимателя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2"/>
        <w:gridCol w:w="808"/>
        <w:gridCol w:w="239"/>
        <w:gridCol w:w="1175"/>
        <w:gridCol w:w="222"/>
        <w:gridCol w:w="1047"/>
        <w:gridCol w:w="822"/>
        <w:gridCol w:w="1462"/>
      </w:tblGrid>
      <w:tr>
        <w:trPr>
          <w:trHeight w:hRule="atLeast" w:val="80"/>
          <w:cantSplit w:val="true"/>
        </w:trPr>
        <w:tc>
          <w:tcPr>
            <w:tcW w:type="dxa" w:w="70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>
                <w:sz w:val="26"/>
                <w:szCs w:val="26"/>
              </w:rPr>
              <w:t xml:space="preserve">от  </w:t>
            </w:r>
          </w:p>
        </w:tc>
        <w:tc>
          <w:tcPr>
            <w:tcW w:type="dxa" w:w="808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type="dxa" w:w="239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75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type="dxa" w:w="22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47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2013</w:t>
            </w:r>
          </w:p>
        </w:tc>
        <w:tc>
          <w:tcPr>
            <w:tcW w:type="dxa" w:w="82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</w:rPr>
              <w:t>г. №</w:t>
            </w:r>
          </w:p>
        </w:tc>
        <w:tc>
          <w:tcPr>
            <w:tcW w:type="dxa" w:w="14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</w:tr>
    </w:tbl>
    <w:p>
      <w:pPr>
        <w:pStyle w:val="style0"/>
        <w:spacing w:after="0" w:before="240"/>
        <w:contextualSpacing w:val="false"/>
      </w:pPr>
      <w:r>
        <w:rPr>
          <w:sz w:val="24"/>
          <w:szCs w:val="24"/>
        </w:rPr>
        <w:t xml:space="preserve">1. Провести проверку в отношении  </w:t>
      </w:r>
      <w:r>
        <w:rPr>
          <w:sz w:val="24"/>
          <w:szCs w:val="24"/>
          <w:shd w:fill="C0C0C0" w:val="clear"/>
        </w:rPr>
        <w:t>Малыши и малышки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3731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(наименование юридического лица, фамилия, имя, отчество (последнее – при наличии)</w:t>
        <w:br/>
        <w:t>индивидуального предпринимателя)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2. Место нахождения: </w:t>
      </w:r>
      <w:r>
        <w:rPr>
          <w:sz w:val="24"/>
          <w:szCs w:val="24"/>
          <w:shd w:fill="C0C0C0" w:val="clear"/>
        </w:rPr>
        <w:t>420101, Респ Татарстан (Татарстан), г Казань, ул Карбышева, д. 37, кв. 44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2348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место(а) фактического осуществления им деятельности)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3. Назначить лицом(ми), уполномоченным(ми) на проведение проверки:  </w:t>
      </w:r>
      <w:bookmarkStart w:id="0" w:name="__DdeLink__536_585282521"/>
      <w:bookmarkEnd w:id="0"/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наличии), должность должностного лица (должностных лиц), уполномоченного(ых) на проведение проверки)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4. Привлечь к проведению проверки в качестве экспертов, представителей экспертных организаций следующих лиц:  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>5. Установить, что: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 xml:space="preserve">настоящая проверка проводится с целью:   </w:t>
      </w:r>
      <w:r>
        <w:rPr>
          <w:sz w:val="24"/>
          <w:szCs w:val="24"/>
          <w:u w:val="single"/>
          <w:shd w:fill="C0C0C0" w:val="clear"/>
        </w:rPr>
        <w:t xml:space="preserve">                                                                     </w:t>
      </w:r>
    </w:p>
    <w:p>
      <w:pPr>
        <w:pStyle w:val="style0"/>
        <w:ind w:hanging="0" w:left="567" w:right="0"/>
      </w:pPr>
      <w:r>
        <w:rPr/>
        <w:t>При установлении целей проводимой проверки указывается следующая информация:</w:t>
      </w:r>
    </w:p>
    <w:p>
      <w:pPr>
        <w:pStyle w:val="style0"/>
        <w:ind w:hanging="0" w:left="567" w:right="0"/>
      </w:pPr>
      <w:r>
        <w:rPr/>
        <w:t>а) в случае проведения плановой проверки:</w:t>
      </w:r>
    </w:p>
    <w:p>
      <w:pPr>
        <w:pStyle w:val="style0"/>
        <w:ind w:firstLine="567" w:left="0" w:right="0"/>
        <w:jc w:val="both"/>
      </w:pPr>
      <w:r>
        <w:rPr/>
        <w:t xml:space="preserve">– ссылка на утвержденный ежегодный план проведения плановых проверок;</w:t>
      </w:r>
    </w:p>
    <w:p>
      <w:pPr>
        <w:pStyle w:val="style0"/>
        <w:ind w:hanging="0" w:left="567" w:right="0"/>
      </w:pPr>
      <w:r>
        <w:rPr/>
        <w:t>б) в случае проведения внеплановой выездной проверки:</w:t>
      </w:r>
    </w:p>
    <w:p>
      <w:pPr>
        <w:pStyle w:val="style0"/>
        <w:ind w:firstLine="567" w:left="0" w:right="0"/>
        <w:jc w:val="both"/>
      </w:pPr>
      <w:r>
        <w:rPr/>
        <w:t xml:space="preserve">– реквизиты ранее выданного проверяемому лицу предписания об устранении выявленного нарушения, срок для исполнения которого истек;</w:t>
      </w:r>
    </w:p>
    <w:p>
      <w:pPr>
        <w:pStyle w:val="style0"/>
        <w:ind w:firstLine="567" w:left="0" w:right="0"/>
        <w:jc w:val="both"/>
      </w:pPr>
      <w:r>
        <w:rPr/>
        <w:t xml:space="preserve">–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>
      <w:pPr>
        <w:pStyle w:val="style0"/>
        <w:ind w:firstLine="567" w:left="0" w:right="0"/>
        <w:jc w:val="both"/>
      </w:pPr>
      <w:r>
        <w:rPr/>
        <w:t xml:space="preserve">– 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>
      <w:pPr>
        <w:pStyle w:val="style0"/>
        <w:ind w:firstLine="567" w:left="0" w:right="0"/>
        <w:jc w:val="both"/>
      </w:pPr>
      <w:r>
        <w:rPr/>
        <w:t xml:space="preserve">–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keepLines/>
        <w:ind w:firstLine="567" w:left="0" w:right="0"/>
        <w:jc w:val="both"/>
      </w:pPr>
      <w:r>
        <w:rPr/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>
      <w:pPr>
        <w:pStyle w:val="style0"/>
        <w:ind w:firstLine="567" w:left="0" w:right="0"/>
        <w:jc w:val="both"/>
      </w:pPr>
      <w:r>
        <w:rPr/>
        <w:t xml:space="preserve">– 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>
      <w:pPr>
        <w:pStyle w:val="style0"/>
        <w:spacing w:after="0" w:before="120"/>
        <w:ind w:hanging="0" w:left="567" w:right="0"/>
        <w:contextualSpacing w:val="false"/>
      </w:pPr>
      <w:r>
        <w:rPr>
          <w:sz w:val="24"/>
          <w:szCs w:val="24"/>
        </w:rPr>
        <w:t xml:space="preserve">задачами настоящей проверки являются:  </w:t>
      </w:r>
      <w:r>
        <w:rPr>
          <w:sz w:val="24"/>
          <w:szCs w:val="24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4865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>6. Предметом настоящей проверки является (отметить нужное):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[x] соблюдение обязательных требований или требований, установленных муниципальными правовыми актами;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[x] 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[x] выполнение предписаний органов государственного контроля (надзора), органов муниципального контроля;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проведение мероприятий: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[x] по предотвращению причинения вреда жизни, здоровью граждан, вреда животным, растениям, окружающей среде;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[x] по предупреждению возникновения чрезвычайных ситуаций природного и техногенного характера;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[x] по обеспечению безопасности государства;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[x] по ликвидации последствий причинения такого вреда.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7. Срок проведения проверки:  </w:t>
      </w:r>
      <w:r>
        <w:rPr>
          <w:sz w:val="24"/>
          <w:szCs w:val="24"/>
          <w:shd w:fill="C0C0C0" w:val="clear"/>
        </w:rPr>
        <w:t>с 14.02.2013 по 13.12.2012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3204" w:right="0"/>
      </w:pPr>
      <w:r>
        <w:rPr/>
      </w:r>
    </w:p>
    <w:p>
      <w:pPr>
        <w:pStyle w:val="style0"/>
        <w:spacing w:after="0" w:before="240"/>
        <w:ind w:firstLine="567" w:left="0" w:right="0"/>
        <w:contextualSpacing w:val="false"/>
      </w:pPr>
      <w:r>
        <w:rPr>
          <w:sz w:val="24"/>
          <w:szCs w:val="24"/>
        </w:rPr>
        <w:t>К проведению проверки приступить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2"/>
        <w:gridCol w:w="638"/>
        <w:gridCol w:w="254"/>
        <w:gridCol w:w="1080"/>
        <w:gridCol w:w="284"/>
        <w:gridCol w:w="989"/>
        <w:gridCol w:w="604"/>
      </w:tblGrid>
      <w:tr>
        <w:trPr>
          <w:cantSplit w:val="true"/>
        </w:trPr>
        <w:tc>
          <w:tcPr>
            <w:tcW w:type="dxa" w:w="3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sz w:val="24"/>
                <w:szCs w:val="24"/>
                <w:shd w:fill="C0C0C0" w:val="clear"/>
              </w:rPr>
              <w:t xml:space="preserve">с </w:t>
            </w:r>
          </w:p>
        </w:tc>
        <w:tc>
          <w:tcPr>
            <w:tcW w:type="dxa" w:w="638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5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80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8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989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60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4"/>
                <w:szCs w:val="24"/>
                <w:shd w:fill="C0C0C0" w:val="clear"/>
              </w:rPr>
              <w:t>г.</w:t>
            </w:r>
          </w:p>
        </w:tc>
      </w:tr>
    </w:tbl>
    <w:p>
      <w:pPr>
        <w:pStyle w:val="style0"/>
        <w:spacing w:after="0" w:before="160"/>
        <w:ind w:firstLine="567" w:left="0" w:right="0"/>
        <w:contextualSpacing w:val="false"/>
      </w:pPr>
      <w:r>
        <w:rPr>
          <w:sz w:val="24"/>
          <w:szCs w:val="24"/>
        </w:rPr>
        <w:t>Проверку окончить не позднее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74"/>
        <w:gridCol w:w="613"/>
        <w:gridCol w:w="270"/>
        <w:gridCol w:w="1065"/>
        <w:gridCol w:w="300"/>
        <w:gridCol w:w="1003"/>
        <w:gridCol w:w="571"/>
      </w:tblGrid>
      <w:tr>
        <w:trPr>
          <w:cantSplit w:val="true"/>
        </w:trPr>
        <w:tc>
          <w:tcPr>
            <w:tcW w:type="dxa" w:w="37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-112" w:right="0"/>
              <w:jc w:val="right"/>
            </w:pPr>
            <w:r>
              <w:rPr/>
            </w:r>
          </w:p>
        </w:tc>
        <w:tc>
          <w:tcPr>
            <w:tcW w:type="dxa" w:w="613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7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65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30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1003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57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4"/>
                <w:szCs w:val="24"/>
                <w:shd w:fill="C0C0C0" w:val="clear"/>
              </w:rPr>
              <w:t>г.</w:t>
            </w:r>
          </w:p>
        </w:tc>
      </w:tr>
    </w:tbl>
    <w:p>
      <w:pPr>
        <w:pStyle w:val="style0"/>
        <w:spacing w:after="0" w:before="160"/>
        <w:contextualSpacing w:val="false"/>
      </w:pPr>
      <w:r>
        <w:rPr>
          <w:sz w:val="24"/>
          <w:szCs w:val="24"/>
        </w:rPr>
        <w:t xml:space="preserve">8. Правовые основания проведения проверки:  </w:t>
      </w:r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(ссылка на положение нормативного правового акта, в соответствии с которым осуществляется проверка;</w:t>
        <w:br/>
        <w:t>ссылка на положения (нормативных) правовых актов, устанавливающих требования, которые являются</w:t>
        <w:br/>
        <w:t>предметом проверки)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9. В процессе проверки провести следующие мероприятия по контролю, необходимые для достижения целей и задач проведения проверки: </w:t>
      </w:r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10. Перечень административных регламентов по осуществлению государственного контроля (надзора), осуществлению муниципального контроля (при их наличии):  </w:t>
      </w:r>
    </w:p>
    <w:p>
      <w:pPr>
        <w:pStyle w:val="style0"/>
      </w:pPr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(с указанием наименований, номеров и дат их принятия)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>11.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>
      <w:pPr>
        <w:pStyle w:val="style0"/>
      </w:pPr>
      <w:r>
        <w:rPr>
          <w:sz w:val="24"/>
          <w:szCs w:val="24"/>
          <w:u w:val="single"/>
          <w:shd w:fill="C0C0C0" w:val="clear"/>
        </w:rPr>
        <w:t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keepNext/>
        <w:spacing w:after="0" w:before="840"/>
        <w:ind w:hanging="0" w:left="0" w:right="4536"/>
        <w:contextualSpacing w:val="false"/>
      </w:pPr>
      <w:r>
        <w:rPr/>
      </w:r>
    </w:p>
    <w:p>
      <w:pPr>
        <w:pStyle w:val="style0"/>
        <w:keepNext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0" w:right="4535"/>
      </w:pPr>
      <w:r>
        <w:rPr/>
      </w:r>
    </w:p>
    <w:p>
      <w:pPr>
        <w:pStyle w:val="style0"/>
        <w:ind w:hanging="0" w:left="0" w:right="4535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0" w:right="4535"/>
        <w:jc w:val="center"/>
      </w:pPr>
      <w:r>
        <w:rPr/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>
      <w:pPr>
        <w:pStyle w:val="style0"/>
        <w:spacing w:after="0" w:before="120"/>
        <w:ind w:hanging="0" w:left="5954" w:right="0"/>
        <w:contextualSpacing w:val="false"/>
        <w:jc w:val="center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5954" w:right="0"/>
        <w:jc w:val="center"/>
      </w:pPr>
      <w:r>
        <w:rPr/>
        <w:t>(подпись, заверенная печатью)</w:t>
      </w:r>
    </w:p>
    <w:p>
      <w:pPr>
        <w:pStyle w:val="style0"/>
        <w:spacing w:after="0" w:before="120"/>
        <w:contextualSpacing w:val="false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>
      <w:pPr>
        <w:pStyle w:val="style0"/>
      </w:pPr>
      <w:r>
        <w:rPr/>
      </w:r>
    </w:p>
    <w:sectPr>
      <w:type w:val="nextPage"/>
      <w:pgSz w:h="16838" w:w="11906"/>
      <w:pgMar w:bottom="567" w:footer="0" w:gutter="0" w:header="0" w:left="1134" w:right="850" w:top="850"/>
      <w:pgNumType w:fmt="decimal"/>
      <w:formProt w:val="false"/>
      <w:textDirection w:val="lrTb"/>
      <w:docGrid w:charSpace="10034" w:linePitch="249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Arial">
    <w:charset w:val="80"/>
    <w:family w:val="swiss"/>
    <w:pitch w:val="variable"/>
  </w:font>
  <w:font w:name="Courier New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tabs>
        <w:tab w:leader="none" w:pos="720" w:val="left"/>
      </w:tabs>
      <w:suppressAutoHyphens w:val="true"/>
      <w:spacing w:after="0" w:before="0" w:line="100" w:lineRule="atLeast"/>
      <w:contextualSpacing w:val="false"/>
    </w:pPr>
    <w:rPr>
      <w:rFonts w:ascii="Times New Roman" w:cs="Times New Roman" w:eastAsia="Droid Sans Fallback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>
      <w:rFonts w:ascii="Times New Roman" w:cs="Times New Roman" w:hAnsi="Times New Roman"/>
      <w:sz w:val="20"/>
      <w:szCs w:val="20"/>
    </w:rPr>
  </w:style>
  <w:style w:styleId="style17" w:type="character">
    <w:name w:val="Нижний колонтитул Знак"/>
    <w:basedOn w:val="style15"/>
    <w:next w:val="style17"/>
    <w:rPr>
      <w:rFonts w:ascii="Times New Roman" w:cs="Times New Roman" w:hAnsi="Times New Roman"/>
      <w:sz w:val="20"/>
      <w:szCs w:val="20"/>
    </w:rPr>
  </w:style>
  <w:style w:styleId="style18" w:type="character">
    <w:name w:val="annotation reference"/>
    <w:basedOn w:val="style15"/>
    <w:next w:val="style18"/>
    <w:rPr>
      <w:sz w:val="16"/>
      <w:szCs w:val="16"/>
    </w:rPr>
  </w:style>
  <w:style w:styleId="style19" w:type="character">
    <w:name w:val="Текст примечания Знак"/>
    <w:basedOn w:val="style15"/>
    <w:next w:val="style19"/>
    <w:rPr>
      <w:rFonts w:ascii="Times New Roman" w:hAnsi="Times New Roman"/>
      <w:sz w:val="20"/>
      <w:szCs w:val="20"/>
    </w:rPr>
  </w:style>
  <w:style w:styleId="style20" w:type="character">
    <w:name w:val="Тема примечания Знак"/>
    <w:basedOn w:val="style19"/>
    <w:next w:val="style20"/>
    <w:rPr>
      <w:rFonts w:ascii="Times New Roman" w:hAnsi="Times New Roman"/>
      <w:b/>
      <w:bCs/>
      <w:sz w:val="20"/>
      <w:szCs w:val="20"/>
    </w:rPr>
  </w:style>
  <w:style w:styleId="style21" w:type="character">
    <w:name w:val="Текст выноски Знак"/>
    <w:basedOn w:val="style15"/>
    <w:next w:val="style21"/>
    <w:rPr>
      <w:rFonts w:ascii="Tahoma" w:cs="Tahoma" w:hAnsi="Tahoma"/>
      <w:sz w:val="16"/>
      <w:szCs w:val="16"/>
    </w:rPr>
  </w:style>
  <w:style w:styleId="style22" w:type="paragraph">
    <w:name w:val="Heading"/>
    <w:basedOn w:val="style0"/>
    <w:next w:val="style23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3" w:type="paragraph">
    <w:name w:val="Text Body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"/>
    <w:basedOn w:val="style23"/>
    <w:next w:val="style24"/>
    <w:pPr/>
    <w:rPr>
      <w:rFonts w:cs="Lohit Hindi"/>
    </w:rPr>
  </w:style>
  <w:style w:styleId="style25" w:type="paragraph">
    <w:name w:val="Caption"/>
    <w:basedOn w:val="style0"/>
    <w:next w:val="style25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cs="Lohit Hindi"/>
    </w:rPr>
  </w:style>
  <w:style w:styleId="style27" w:type="paragraph">
    <w:name w:val="caption"/>
    <w:basedOn w:val="style0"/>
    <w:next w:val="style27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8" w:type="paragraph">
    <w:name w:val="Header"/>
    <w:basedOn w:val="style0"/>
    <w:next w:val="style28"/>
    <w:pPr>
      <w:suppressLineNumbers/>
      <w:tabs>
        <w:tab w:leader="none" w:pos="4153" w:val="center"/>
        <w:tab w:leader="none" w:pos="8306" w:val="right"/>
      </w:tabs>
    </w:pPr>
    <w:rPr/>
  </w:style>
  <w:style w:styleId="style29" w:type="paragraph">
    <w:name w:val="Footer"/>
    <w:basedOn w:val="style0"/>
    <w:next w:val="style29"/>
    <w:pPr>
      <w:suppressLineNumbers/>
      <w:tabs>
        <w:tab w:leader="none" w:pos="4153" w:val="center"/>
        <w:tab w:leader="none" w:pos="8306" w:val="right"/>
      </w:tabs>
    </w:pPr>
    <w:rPr/>
  </w:style>
  <w:style w:styleId="style30" w:type="paragraph">
    <w:name w:val="ConsNonformat"/>
    <w:next w:val="style30"/>
    <w:pPr>
      <w:widowControl/>
      <w:tabs>
        <w:tab w:leader="none" w:pos="720" w:val="left"/>
      </w:tabs>
      <w:suppressAutoHyphens w:val="true"/>
      <w:spacing w:after="0" w:before="0" w:line="100" w:lineRule="atLeast"/>
      <w:contextualSpacing w:val="false"/>
      <w:jc w:val="both"/>
    </w:pPr>
    <w:rPr>
      <w:rFonts w:ascii="Courier New" w:cs="Courier New" w:eastAsia="Droid Sans Fallback" w:hAnsi="Courier New"/>
      <w:color w:val="00000A"/>
      <w:sz w:val="20"/>
      <w:szCs w:val="20"/>
      <w:lang w:bidi="ar-SA" w:eastAsia="ru-RU" w:val="ru-RU"/>
    </w:rPr>
  </w:style>
  <w:style w:styleId="style31" w:type="paragraph">
    <w:name w:val="annotation text"/>
    <w:basedOn w:val="style0"/>
    <w:next w:val="style31"/>
    <w:pPr/>
    <w:rPr/>
  </w:style>
  <w:style w:styleId="style32" w:type="paragraph">
    <w:name w:val="annotation subject"/>
    <w:basedOn w:val="style31"/>
    <w:next w:val="style32"/>
    <w:pPr/>
    <w:rPr>
      <w:b/>
      <w:bCs/>
    </w:rPr>
  </w:style>
  <w:style w:styleId="style33" w:type="paragraph">
    <w:name w:val="Balloon Text"/>
    <w:basedOn w:val="style0"/>
    <w:next w:val="style33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2013-10-31T15:02:00.00Z</dcterms:created>
  <dc:creator>КонсультантПлюс</dc:creator>
  <cp:lastModifiedBy>singatullinmt</cp:lastModifiedBy>
  <cp:lastPrinted>2011-11-16T09:15:00.00Z</cp:lastPrinted>
  <dcterms:modified xsi:type="dcterms:W3CDTF">2013-10-31T15:02:00.00Z</dcterms:modified>
  <cp:revision>2</cp:revision>
</cp:coreProperties>
</file>